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4B35" w14:textId="77777777" w:rsidR="00BA7689" w:rsidRPr="00DD5361" w:rsidRDefault="00BA7689" w:rsidP="00BA7689">
      <w:pPr>
        <w:rPr>
          <w:rFonts w:cs="Helvetica"/>
          <w:b/>
        </w:rPr>
      </w:pPr>
      <w:r w:rsidRPr="00DD5361">
        <w:rPr>
          <w:rFonts w:cs="Helvetica"/>
          <w:b/>
          <w:bCs/>
        </w:rPr>
        <w:t>Neu bei Labmix24: SURAGUS Referenzproben zur Kalibrierung von Schichtwiderstandsprüfgeräten</w:t>
      </w:r>
    </w:p>
    <w:p w14:paraId="0F050B4C" w14:textId="77777777" w:rsidR="00BA7689" w:rsidRPr="00DD5361" w:rsidRDefault="00BA7689" w:rsidP="00BA7689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DD5361">
        <w:rPr>
          <w:rFonts w:ascii="Calibri" w:eastAsia="Calibri" w:hAnsi="Calibri" w:cs="Calibri"/>
          <w:sz w:val="24"/>
          <w:szCs w:val="24"/>
        </w:rPr>
        <w:t>SURAGUS Referenzproben für die Kalibrierung unterstützen korrekte und zuverlässige Messergebnisse bei der Nutzung von Schichtwiderstandsprüfgeräten. Diese sind sowohl mit kontakt- oder zerstörungsfreien Messgeräten, als auch mit kontaktierenden Geräten*, z. B. auf Basis des 4-Spitzen-Verfahrens, verwendbar.</w:t>
      </w:r>
    </w:p>
    <w:p w14:paraId="4F8F0A52" w14:textId="77777777" w:rsidR="00BA7689" w:rsidRPr="00DD5361" w:rsidRDefault="00BA7689" w:rsidP="00BA7689">
      <w:pPr>
        <w:pStyle w:val="Listenabsatz"/>
        <w:numPr>
          <w:ilvl w:val="0"/>
          <w:numId w:val="1"/>
        </w:numPr>
        <w:rPr>
          <w:rFonts w:ascii="Calibri" w:eastAsia="Calibri" w:hAnsi="Calibri" w:cs="Calibri"/>
          <w:color w:val="494949"/>
          <w:sz w:val="24"/>
          <w:szCs w:val="24"/>
        </w:rPr>
      </w:pPr>
      <w:r w:rsidRPr="00DD5361">
        <w:rPr>
          <w:rFonts w:ascii="Calibri" w:eastAsia="Calibri" w:hAnsi="Calibri" w:cs="Calibri"/>
          <w:color w:val="494949"/>
          <w:sz w:val="24"/>
          <w:szCs w:val="24"/>
        </w:rPr>
        <w:t>Die Referenzproben sind für folgende Testtypen und Messmethoden geeignet</w:t>
      </w:r>
    </w:p>
    <w:p w14:paraId="3D8BCFF8" w14:textId="77777777" w:rsidR="00BA7689" w:rsidRPr="00DD5361" w:rsidRDefault="00BA7689" w:rsidP="00BA7689">
      <w:pPr>
        <w:pStyle w:val="Listenabsatz"/>
        <w:numPr>
          <w:ilvl w:val="1"/>
          <w:numId w:val="1"/>
        </w:numPr>
        <w:rPr>
          <w:rFonts w:ascii="Calibri" w:eastAsia="Calibri" w:hAnsi="Calibri" w:cs="Calibri"/>
          <w:color w:val="494949"/>
          <w:sz w:val="24"/>
          <w:szCs w:val="24"/>
          <w:lang w:val="en-US"/>
        </w:rPr>
      </w:pPr>
      <w:proofErr w:type="spellStart"/>
      <w:r w:rsidRPr="00DD5361">
        <w:rPr>
          <w:rFonts w:ascii="Calibri" w:eastAsia="Calibri" w:hAnsi="Calibri" w:cs="Calibri"/>
          <w:color w:val="494949"/>
          <w:sz w:val="24"/>
          <w:szCs w:val="24"/>
          <w:lang w:val="en-US"/>
        </w:rPr>
        <w:t>Wirbelstromverfahren</w:t>
      </w:r>
      <w:proofErr w:type="spellEnd"/>
    </w:p>
    <w:p w14:paraId="37B63150" w14:textId="77777777" w:rsidR="00BA7689" w:rsidRPr="00DD5361" w:rsidRDefault="00BA7689" w:rsidP="00BA7689">
      <w:pPr>
        <w:pStyle w:val="Listenabsatz"/>
        <w:numPr>
          <w:ilvl w:val="1"/>
          <w:numId w:val="1"/>
        </w:numPr>
        <w:rPr>
          <w:rFonts w:ascii="Calibri" w:eastAsia="Calibri" w:hAnsi="Calibri" w:cs="Calibri"/>
          <w:color w:val="494949"/>
          <w:sz w:val="24"/>
          <w:szCs w:val="24"/>
        </w:rPr>
      </w:pPr>
      <w:r w:rsidRPr="00DD5361">
        <w:rPr>
          <w:rFonts w:ascii="Calibri" w:eastAsia="Calibri" w:hAnsi="Calibri" w:cs="Calibri"/>
          <w:color w:val="494949"/>
          <w:sz w:val="24"/>
          <w:szCs w:val="24"/>
        </w:rPr>
        <w:t>Zwei-Punkt- und Vier-Punkt-Methode (4PP)</w:t>
      </w:r>
    </w:p>
    <w:p w14:paraId="638EAA32" w14:textId="77777777" w:rsidR="00BA7689" w:rsidRPr="00DD5361" w:rsidRDefault="00BA7689" w:rsidP="00BA7689">
      <w:pPr>
        <w:pStyle w:val="Listenabsatz"/>
        <w:numPr>
          <w:ilvl w:val="1"/>
          <w:numId w:val="1"/>
        </w:numPr>
        <w:rPr>
          <w:rFonts w:ascii="Calibri" w:eastAsia="Calibri" w:hAnsi="Calibri" w:cs="Calibri"/>
          <w:color w:val="494949"/>
          <w:sz w:val="24"/>
          <w:szCs w:val="24"/>
        </w:rPr>
      </w:pPr>
      <w:r w:rsidRPr="00DD5361">
        <w:rPr>
          <w:rFonts w:ascii="Calibri" w:eastAsia="Calibri" w:hAnsi="Calibri" w:cs="Calibri"/>
          <w:color w:val="494949"/>
          <w:sz w:val="24"/>
          <w:szCs w:val="24"/>
          <w:lang w:val="en-US"/>
        </w:rPr>
        <w:t>Hall-</w:t>
      </w:r>
      <w:proofErr w:type="spellStart"/>
      <w:r w:rsidRPr="00DD5361">
        <w:rPr>
          <w:rFonts w:ascii="Calibri" w:eastAsia="Calibri" w:hAnsi="Calibri" w:cs="Calibri"/>
          <w:color w:val="494949"/>
          <w:sz w:val="24"/>
          <w:szCs w:val="24"/>
          <w:lang w:val="en-US"/>
        </w:rPr>
        <w:t>Effekt</w:t>
      </w:r>
      <w:proofErr w:type="spellEnd"/>
      <w:r w:rsidRPr="00DD5361">
        <w:rPr>
          <w:rFonts w:ascii="Calibri" w:eastAsia="Calibri" w:hAnsi="Calibri" w:cs="Calibri"/>
          <w:color w:val="494949"/>
          <w:sz w:val="24"/>
          <w:szCs w:val="24"/>
          <w:lang w:val="en-US"/>
        </w:rPr>
        <w:t>-</w:t>
      </w:r>
      <w:proofErr w:type="spellStart"/>
      <w:r w:rsidRPr="00DD5361">
        <w:rPr>
          <w:rFonts w:ascii="Calibri" w:eastAsia="Calibri" w:hAnsi="Calibri" w:cs="Calibri"/>
          <w:color w:val="494949"/>
          <w:sz w:val="24"/>
          <w:szCs w:val="24"/>
          <w:lang w:val="en-US"/>
        </w:rPr>
        <w:t>Methode</w:t>
      </w:r>
      <w:proofErr w:type="spellEnd"/>
    </w:p>
    <w:p w14:paraId="73241BB9" w14:textId="77777777" w:rsidR="00BA7689" w:rsidRPr="00DD5361" w:rsidRDefault="00BA7689" w:rsidP="00BA7689">
      <w:pPr>
        <w:pStyle w:val="Listenabsatz"/>
        <w:numPr>
          <w:ilvl w:val="1"/>
          <w:numId w:val="1"/>
        </w:numPr>
        <w:rPr>
          <w:rFonts w:ascii="Calibri" w:eastAsia="Calibri" w:hAnsi="Calibri" w:cs="Calibri"/>
          <w:color w:val="494949"/>
          <w:sz w:val="24"/>
          <w:szCs w:val="24"/>
        </w:rPr>
      </w:pPr>
      <w:r w:rsidRPr="00DD5361">
        <w:rPr>
          <w:rFonts w:ascii="Calibri" w:eastAsia="Calibri" w:hAnsi="Calibri" w:cs="Calibri"/>
          <w:color w:val="494949"/>
          <w:sz w:val="24"/>
          <w:szCs w:val="24"/>
          <w:lang w:val="en-US"/>
        </w:rPr>
        <w:t>Van-der-</w:t>
      </w:r>
      <w:proofErr w:type="spellStart"/>
      <w:r w:rsidRPr="00DD5361">
        <w:rPr>
          <w:rFonts w:ascii="Calibri" w:eastAsia="Calibri" w:hAnsi="Calibri" w:cs="Calibri"/>
          <w:color w:val="494949"/>
          <w:sz w:val="24"/>
          <w:szCs w:val="24"/>
          <w:lang w:val="en-US"/>
        </w:rPr>
        <w:t>Pauw</w:t>
      </w:r>
      <w:proofErr w:type="spellEnd"/>
      <w:r w:rsidRPr="00DD5361">
        <w:rPr>
          <w:rFonts w:ascii="Calibri" w:eastAsia="Calibri" w:hAnsi="Calibri" w:cs="Calibri"/>
          <w:color w:val="494949"/>
          <w:sz w:val="24"/>
          <w:szCs w:val="24"/>
          <w:lang w:val="en-US"/>
        </w:rPr>
        <w:t>-</w:t>
      </w:r>
      <w:proofErr w:type="spellStart"/>
      <w:r w:rsidRPr="00DD5361">
        <w:rPr>
          <w:rFonts w:ascii="Calibri" w:eastAsia="Calibri" w:hAnsi="Calibri" w:cs="Calibri"/>
          <w:color w:val="494949"/>
          <w:sz w:val="24"/>
          <w:szCs w:val="24"/>
          <w:lang w:val="en-US"/>
        </w:rPr>
        <w:t>Methode</w:t>
      </w:r>
      <w:proofErr w:type="spellEnd"/>
    </w:p>
    <w:p w14:paraId="4B48870F" w14:textId="77777777" w:rsidR="00BA7689" w:rsidRPr="00DD5361" w:rsidRDefault="00BA7689" w:rsidP="00BA7689">
      <w:pPr>
        <w:pStyle w:val="Listenabsatz"/>
        <w:numPr>
          <w:ilvl w:val="0"/>
          <w:numId w:val="1"/>
        </w:numPr>
        <w:rPr>
          <w:rFonts w:ascii="Calibri" w:eastAsia="Calibri" w:hAnsi="Calibri" w:cs="Calibri"/>
          <w:color w:val="494949"/>
          <w:sz w:val="24"/>
          <w:szCs w:val="24"/>
          <w:lang w:val="en-US"/>
        </w:rPr>
      </w:pPr>
      <w:proofErr w:type="spellStart"/>
      <w:r w:rsidRPr="00DD5361">
        <w:rPr>
          <w:rFonts w:ascii="Calibri" w:eastAsia="Calibri" w:hAnsi="Calibri" w:cs="Calibri"/>
          <w:color w:val="494949"/>
          <w:sz w:val="24"/>
          <w:szCs w:val="24"/>
          <w:lang w:val="en-US"/>
        </w:rPr>
        <w:t>Materialien</w:t>
      </w:r>
      <w:proofErr w:type="spellEnd"/>
      <w:r w:rsidRPr="00DD5361">
        <w:rPr>
          <w:rFonts w:ascii="Calibri" w:eastAsia="Calibri" w:hAnsi="Calibri" w:cs="Calibri"/>
          <w:color w:val="494949"/>
          <w:sz w:val="24"/>
          <w:szCs w:val="24"/>
          <w:lang w:val="en-US"/>
        </w:rPr>
        <w:t xml:space="preserve"> und </w:t>
      </w:r>
      <w:proofErr w:type="spellStart"/>
      <w:r w:rsidRPr="00DD5361">
        <w:rPr>
          <w:rFonts w:ascii="Calibri" w:eastAsia="Calibri" w:hAnsi="Calibri" w:cs="Calibri"/>
          <w:color w:val="494949"/>
          <w:sz w:val="24"/>
          <w:szCs w:val="24"/>
          <w:lang w:val="en-US"/>
        </w:rPr>
        <w:t>Schichtenstapel</w:t>
      </w:r>
      <w:proofErr w:type="spellEnd"/>
    </w:p>
    <w:p w14:paraId="38723838" w14:textId="77777777" w:rsidR="00BA7689" w:rsidRPr="00DD5361" w:rsidRDefault="00BA7689" w:rsidP="00BA7689">
      <w:pPr>
        <w:pStyle w:val="Listenabsatz"/>
        <w:numPr>
          <w:ilvl w:val="1"/>
          <w:numId w:val="1"/>
        </w:numPr>
        <w:rPr>
          <w:rFonts w:ascii="Calibri" w:eastAsia="Calibri" w:hAnsi="Calibri" w:cs="Calibri"/>
          <w:color w:val="494949"/>
          <w:sz w:val="24"/>
          <w:szCs w:val="24"/>
        </w:rPr>
      </w:pPr>
      <w:r w:rsidRPr="00DD5361">
        <w:rPr>
          <w:rFonts w:ascii="Calibri" w:eastAsia="Calibri" w:hAnsi="Calibri" w:cs="Calibri"/>
          <w:color w:val="494949"/>
          <w:sz w:val="24"/>
          <w:szCs w:val="24"/>
        </w:rPr>
        <w:t>SURAGUS entwickelt verschiedene Proben- und Probenzusammenstellungen die zusammen 9 Dekaden des elektrischen Schichtwiderstands abdecken.</w:t>
      </w:r>
    </w:p>
    <w:p w14:paraId="10E39A28" w14:textId="77777777" w:rsidR="00BA7689" w:rsidRPr="00DD5361" w:rsidRDefault="00BA7689" w:rsidP="00BA7689">
      <w:pPr>
        <w:pStyle w:val="Listenabsatz"/>
        <w:numPr>
          <w:ilvl w:val="1"/>
          <w:numId w:val="1"/>
        </w:numPr>
        <w:rPr>
          <w:rFonts w:ascii="Calibri" w:eastAsia="Calibri" w:hAnsi="Calibri" w:cs="Calibri"/>
          <w:color w:val="494949"/>
          <w:sz w:val="24"/>
          <w:szCs w:val="24"/>
        </w:rPr>
      </w:pPr>
      <w:r w:rsidRPr="00DD5361">
        <w:rPr>
          <w:rFonts w:ascii="Calibri" w:eastAsia="Calibri" w:hAnsi="Calibri" w:cs="Calibri"/>
          <w:color w:val="494949"/>
          <w:sz w:val="24"/>
          <w:szCs w:val="24"/>
        </w:rPr>
        <w:t>Jede Probe besitzt eine Beschichtung mit einer sehr guten Homogenität</w:t>
      </w:r>
    </w:p>
    <w:p w14:paraId="069DB3E5" w14:textId="77777777" w:rsidR="00BA7689" w:rsidRPr="00DD5361" w:rsidRDefault="00BA7689" w:rsidP="00BA7689">
      <w:pPr>
        <w:pStyle w:val="Listenabsatz"/>
        <w:numPr>
          <w:ilvl w:val="1"/>
          <w:numId w:val="1"/>
        </w:numPr>
        <w:rPr>
          <w:rFonts w:ascii="Calibri" w:eastAsia="Calibri" w:hAnsi="Calibri" w:cs="Calibri"/>
          <w:color w:val="494949"/>
          <w:sz w:val="24"/>
          <w:szCs w:val="24"/>
        </w:rPr>
      </w:pPr>
      <w:r w:rsidRPr="00DD5361">
        <w:rPr>
          <w:rFonts w:ascii="Calibri" w:eastAsia="Calibri" w:hAnsi="Calibri" w:cs="Calibri"/>
          <w:color w:val="494949"/>
          <w:sz w:val="24"/>
          <w:szCs w:val="24"/>
        </w:rPr>
        <w:t>Die Proben durchlaufen einen umfangreichen Auswahl- und Charakterisierungsprozess</w:t>
      </w:r>
    </w:p>
    <w:p w14:paraId="6B0B16FB" w14:textId="77777777" w:rsidR="00BA7689" w:rsidRPr="00DD5361" w:rsidRDefault="00BA7689" w:rsidP="00BA7689">
      <w:pPr>
        <w:pStyle w:val="Listenabsatz"/>
        <w:numPr>
          <w:ilvl w:val="1"/>
          <w:numId w:val="1"/>
        </w:numPr>
        <w:rPr>
          <w:rFonts w:ascii="Calibri" w:eastAsia="Calibri" w:hAnsi="Calibri" w:cs="Calibri"/>
          <w:color w:val="494949"/>
          <w:sz w:val="24"/>
          <w:szCs w:val="24"/>
        </w:rPr>
      </w:pPr>
      <w:r w:rsidRPr="00DD5361">
        <w:rPr>
          <w:rFonts w:ascii="Calibri" w:eastAsia="Calibri" w:hAnsi="Calibri" w:cs="Calibri"/>
          <w:color w:val="494949"/>
          <w:sz w:val="24"/>
          <w:szCs w:val="24"/>
        </w:rPr>
        <w:t>Die ausgewählten Proben sind zudem auf eine geringe Alterung hin optimiert</w:t>
      </w:r>
    </w:p>
    <w:p w14:paraId="237D7D44" w14:textId="77777777" w:rsidR="00BA7689" w:rsidRPr="00DD5361" w:rsidRDefault="00BA7689" w:rsidP="00BA7689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DD5361">
        <w:rPr>
          <w:rFonts w:ascii="Calibri" w:eastAsia="Calibri" w:hAnsi="Calibri" w:cs="Calibri"/>
          <w:sz w:val="24"/>
          <w:szCs w:val="24"/>
        </w:rPr>
        <w:t>SURAGUS Referenzstandards zeichnen sich durch die Verwendung von NIST-Standards aus und ermöglichen die Einhaltung der ISO 17025 und ISO 9001. Die Referenzproben haben eine stabile und homogene Beschichtung und sind in verschiedenen Schichtwiderstandsbereichen und verschiedenen Größen erhältlich.</w:t>
      </w:r>
    </w:p>
    <w:p w14:paraId="203B6AB4" w14:textId="77777777" w:rsidR="00BA7689" w:rsidRPr="00DD5361" w:rsidRDefault="00BA7689" w:rsidP="00BA7689">
      <w:pPr>
        <w:rPr>
          <w:rFonts w:ascii="Roboto Condensed" w:eastAsia="Roboto Condensed" w:hAnsi="Roboto Condensed" w:cs="Roboto Condensed"/>
          <w:color w:val="666666"/>
          <w:sz w:val="21"/>
          <w:szCs w:val="21"/>
        </w:rPr>
      </w:pPr>
      <w:r w:rsidRPr="00DD5361">
        <w:rPr>
          <w:rFonts w:ascii="Calibri" w:eastAsia="Calibri" w:hAnsi="Calibri" w:cs="Calibri"/>
          <w:sz w:val="24"/>
          <w:szCs w:val="24"/>
        </w:rPr>
        <w:t>Als Distributor für SURAGUS Referenzmaterialien helfen wir Ihnen gerne, die benötigten Referenzmaterialien zu finden und zu beschaffen</w:t>
      </w:r>
      <w:r w:rsidRPr="00DD5361">
        <w:rPr>
          <w:rFonts w:ascii="Roboto Condensed" w:eastAsia="Roboto Condensed" w:hAnsi="Roboto Condensed" w:cs="Roboto Condensed"/>
          <w:color w:val="666666"/>
          <w:sz w:val="21"/>
          <w:szCs w:val="21"/>
        </w:rPr>
        <w:t>.</w:t>
      </w:r>
    </w:p>
    <w:p w14:paraId="4EFBCCF0" w14:textId="77777777" w:rsidR="003B7940" w:rsidRDefault="003B7940" w:rsidP="00A833AE">
      <w:pPr>
        <w:rPr>
          <w:rFonts w:cs="Helvetica"/>
          <w:b/>
          <w:bCs/>
        </w:rPr>
      </w:pPr>
    </w:p>
    <w:p w14:paraId="4225079F" w14:textId="0DFA1B73" w:rsidR="00A833AE" w:rsidRPr="00A833AE" w:rsidRDefault="00A833AE" w:rsidP="00A833AE">
      <w:pPr>
        <w:rPr>
          <w:rFonts w:cs="Helvetica"/>
        </w:rPr>
      </w:pPr>
      <w:r w:rsidRPr="00A833AE">
        <w:rPr>
          <w:rFonts w:cs="Helvetica"/>
          <w:b/>
          <w:bCs/>
        </w:rPr>
        <w:t>Über Labmix24</w:t>
      </w:r>
      <w:r w:rsidRPr="00A833AE">
        <w:rPr>
          <w:rFonts w:cs="Helvetica"/>
        </w:rPr>
        <w:t xml:space="preserve">: Labmix24 ist Fachhändler für zertifizierte Referenzmaterialien, SUS- und </w:t>
      </w:r>
      <w:proofErr w:type="spellStart"/>
      <w:r w:rsidRPr="00A833AE">
        <w:rPr>
          <w:rFonts w:cs="Helvetica"/>
        </w:rPr>
        <w:t>Rekalibrierungs</w:t>
      </w:r>
      <w:r w:rsidR="007E3BF6">
        <w:rPr>
          <w:rFonts w:cs="Helvetica"/>
        </w:rPr>
        <w:t>proben</w:t>
      </w:r>
      <w:proofErr w:type="spellEnd"/>
      <w:r w:rsidRPr="00A833AE">
        <w:rPr>
          <w:rFonts w:cs="Helvetica"/>
        </w:rPr>
        <w:t xml:space="preserve"> sowie Laborverbrauchsmaterialien. Unser Portfolio umfasst Referenzmaterialien aus verschiedenen Bereichen wie </w:t>
      </w:r>
      <w:r w:rsidR="00D81CF9">
        <w:rPr>
          <w:rFonts w:cs="Helvetica"/>
        </w:rPr>
        <w:t xml:space="preserve">z.B. </w:t>
      </w:r>
      <w:r w:rsidRPr="00A833AE">
        <w:rPr>
          <w:rFonts w:cs="Helvetica"/>
        </w:rPr>
        <w:t xml:space="preserve">Umwelt, Lebensmittel, </w:t>
      </w:r>
      <w:proofErr w:type="spellStart"/>
      <w:r w:rsidRPr="00A833AE">
        <w:rPr>
          <w:rFonts w:cs="Helvetica"/>
        </w:rPr>
        <w:t>Pharma</w:t>
      </w:r>
      <w:proofErr w:type="spellEnd"/>
      <w:r w:rsidRPr="00A833AE">
        <w:rPr>
          <w:rFonts w:cs="Helvetica"/>
        </w:rPr>
        <w:t xml:space="preserve">, Metall, Geologie und Industrie. Zu unseren Kunden zählen Labore, Universitäten, Staatsuntersuchungsämter und </w:t>
      </w:r>
      <w:r w:rsidR="00D81CF9">
        <w:rPr>
          <w:rFonts w:cs="Helvetica"/>
        </w:rPr>
        <w:t>sowie verschiedene Zweige der Industrie</w:t>
      </w:r>
      <w:r w:rsidRPr="00A833AE">
        <w:rPr>
          <w:rFonts w:cs="Helvetica"/>
        </w:rPr>
        <w:t>.</w:t>
      </w:r>
    </w:p>
    <w:p w14:paraId="3D86CE24" w14:textId="032012F9" w:rsidR="002149C7" w:rsidRDefault="00A833AE" w:rsidP="00A833AE">
      <w:pPr>
        <w:rPr>
          <w:rFonts w:cs="Helvetica"/>
        </w:rPr>
      </w:pPr>
      <w:r w:rsidRPr="00A833AE">
        <w:rPr>
          <w:rFonts w:cs="Helvetica"/>
        </w:rPr>
        <w:t>Erfahren Sie mehr über Labmix24 unter www.labmix24.com</w:t>
      </w:r>
    </w:p>
    <w:p w14:paraId="42A90773" w14:textId="3E6162D0" w:rsidR="00BA7689" w:rsidRPr="00D81CF9" w:rsidRDefault="00A833AE" w:rsidP="00BA7689">
      <w:pPr>
        <w:rPr>
          <w:rFonts w:cs="Helvetica"/>
          <w:b/>
          <w:bCs/>
        </w:rPr>
      </w:pPr>
      <w:r w:rsidRPr="00D81CF9">
        <w:rPr>
          <w:rFonts w:cs="Helvetica"/>
          <w:b/>
          <w:bCs/>
        </w:rPr>
        <w:t>K</w:t>
      </w:r>
      <w:r w:rsidR="00BA7689" w:rsidRPr="00D81CF9">
        <w:rPr>
          <w:rFonts w:cs="Helvetica"/>
          <w:b/>
          <w:bCs/>
        </w:rPr>
        <w:t>onta</w:t>
      </w:r>
      <w:r w:rsidRPr="00D81CF9">
        <w:rPr>
          <w:rFonts w:cs="Helvetica"/>
          <w:b/>
          <w:bCs/>
        </w:rPr>
        <w:t>k</w:t>
      </w:r>
      <w:r w:rsidR="00BA7689" w:rsidRPr="00D81CF9">
        <w:rPr>
          <w:rFonts w:cs="Helvetica"/>
          <w:b/>
          <w:bCs/>
        </w:rPr>
        <w:t>t:</w:t>
      </w:r>
    </w:p>
    <w:p w14:paraId="698F991F" w14:textId="1E9632D5" w:rsidR="00BA7689" w:rsidRPr="00D81CF9" w:rsidRDefault="00BA7689" w:rsidP="00BA7689">
      <w:pPr>
        <w:spacing w:after="0"/>
        <w:rPr>
          <w:rFonts w:cs="Helvetica"/>
        </w:rPr>
      </w:pPr>
      <w:r w:rsidRPr="00D81CF9">
        <w:rPr>
          <w:rFonts w:cs="Helvetica"/>
        </w:rPr>
        <w:t xml:space="preserve">Ingo Glaß und Stefan Limbach, </w:t>
      </w:r>
      <w:r w:rsidR="00D81CF9" w:rsidRPr="00D81CF9">
        <w:rPr>
          <w:rFonts w:cs="Helvetica"/>
        </w:rPr>
        <w:t>Geschäftsführer</w:t>
      </w:r>
      <w:r w:rsidRPr="00D81CF9">
        <w:rPr>
          <w:rFonts w:cs="Helvetica"/>
        </w:rPr>
        <w:t xml:space="preserve"> </w:t>
      </w:r>
    </w:p>
    <w:p w14:paraId="44F22C01" w14:textId="77777777" w:rsidR="00BA7689" w:rsidRPr="00DD5361" w:rsidRDefault="00BA7689" w:rsidP="00BA7689">
      <w:pPr>
        <w:spacing w:after="0"/>
        <w:rPr>
          <w:rFonts w:cs="Helvetica"/>
          <w:lang w:val="en-US"/>
        </w:rPr>
      </w:pPr>
      <w:proofErr w:type="spellStart"/>
      <w:r w:rsidRPr="00DD5361">
        <w:rPr>
          <w:rFonts w:cs="Helvetica"/>
          <w:lang w:val="en-US"/>
        </w:rPr>
        <w:t>Industriestr</w:t>
      </w:r>
      <w:proofErr w:type="spellEnd"/>
      <w:r w:rsidRPr="00DD5361">
        <w:rPr>
          <w:rFonts w:cs="Helvetica"/>
          <w:lang w:val="en-US"/>
        </w:rPr>
        <w:t>. 18A</w:t>
      </w:r>
    </w:p>
    <w:p w14:paraId="198EF1DD" w14:textId="77777777" w:rsidR="00BA7689" w:rsidRPr="00DD5361" w:rsidRDefault="00BA7689" w:rsidP="00BA7689">
      <w:pPr>
        <w:spacing w:after="0"/>
        <w:rPr>
          <w:rFonts w:cs="Helvetica"/>
          <w:lang w:val="en-US"/>
        </w:rPr>
      </w:pPr>
      <w:r w:rsidRPr="00DD5361">
        <w:rPr>
          <w:rFonts w:cs="Helvetica"/>
          <w:lang w:val="en-US"/>
        </w:rPr>
        <w:t xml:space="preserve">46499 </w:t>
      </w:r>
      <w:proofErr w:type="spellStart"/>
      <w:r w:rsidRPr="00DD5361">
        <w:rPr>
          <w:rFonts w:cs="Helvetica"/>
          <w:lang w:val="en-US"/>
        </w:rPr>
        <w:t>Hamminkeln</w:t>
      </w:r>
      <w:proofErr w:type="spellEnd"/>
    </w:p>
    <w:p w14:paraId="1BE17A69" w14:textId="77777777" w:rsidR="00BA7689" w:rsidRPr="00DD5361" w:rsidRDefault="000F3EE6" w:rsidP="00BA7689">
      <w:pPr>
        <w:spacing w:after="0"/>
        <w:rPr>
          <w:rFonts w:cs="Helvetica"/>
          <w:lang w:val="en-US"/>
        </w:rPr>
      </w:pPr>
      <w:hyperlink r:id="rId8" w:history="1">
        <w:r w:rsidR="00BA7689" w:rsidRPr="00DD5361">
          <w:rPr>
            <w:rStyle w:val="Hyperlink"/>
            <w:rFonts w:cs="Helvetica"/>
            <w:color w:val="auto"/>
            <w:lang w:val="en-US"/>
          </w:rPr>
          <w:t>info@labmix24.com</w:t>
        </w:r>
      </w:hyperlink>
      <w:r w:rsidR="00BA7689" w:rsidRPr="00DD5361">
        <w:rPr>
          <w:rFonts w:cs="Helvetica"/>
          <w:lang w:val="en-US"/>
        </w:rPr>
        <w:t xml:space="preserve"> </w:t>
      </w:r>
    </w:p>
    <w:p w14:paraId="3421E0CB" w14:textId="77777777" w:rsidR="00BA7689" w:rsidRPr="008B0C49" w:rsidRDefault="00BA7689" w:rsidP="00BA7689">
      <w:pPr>
        <w:rPr>
          <w:rFonts w:cs="Helvetica"/>
          <w:b/>
          <w:bCs/>
          <w:lang w:val="en-US"/>
        </w:rPr>
      </w:pPr>
      <w:r w:rsidRPr="00DD5361">
        <w:rPr>
          <w:rFonts w:cs="Helvetica"/>
          <w:lang w:val="en-US"/>
        </w:rPr>
        <w:t>02852 96064-00</w:t>
      </w:r>
    </w:p>
    <w:p w14:paraId="421F182F" w14:textId="77777777" w:rsidR="0093207C" w:rsidRDefault="0093207C"/>
    <w:sectPr w:rsidR="009320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43ED"/>
    <w:multiLevelType w:val="hybridMultilevel"/>
    <w:tmpl w:val="2C1A524E"/>
    <w:lvl w:ilvl="0" w:tplc="D3E6A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AF01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41666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69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63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4A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8A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56A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4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89"/>
    <w:rsid w:val="000F3EE6"/>
    <w:rsid w:val="002149C7"/>
    <w:rsid w:val="003B7940"/>
    <w:rsid w:val="007E3BF6"/>
    <w:rsid w:val="0093207C"/>
    <w:rsid w:val="00A833AE"/>
    <w:rsid w:val="00BA7689"/>
    <w:rsid w:val="00BA792A"/>
    <w:rsid w:val="00D81CF9"/>
    <w:rsid w:val="00DC2673"/>
    <w:rsid w:val="00D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3386"/>
  <w15:chartTrackingRefBased/>
  <w15:docId w15:val="{29240BDB-8E25-463A-B3A5-F62894D3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76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768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A768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D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mix24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EF277017E08B43A689E1E747E1B3C8" ma:contentTypeVersion="12" ma:contentTypeDescription="Ein neues Dokument erstellen." ma:contentTypeScope="" ma:versionID="4a92d3d81e96c6067c176bbcfc108867">
  <xsd:schema xmlns:xsd="http://www.w3.org/2001/XMLSchema" xmlns:xs="http://www.w3.org/2001/XMLSchema" xmlns:p="http://schemas.microsoft.com/office/2006/metadata/properties" xmlns:ns3="252899c2-50fe-44b1-8b61-4ed7bccf8b4e" xmlns:ns4="37a5efd1-9c47-4578-bbad-d305216caeb7" targetNamespace="http://schemas.microsoft.com/office/2006/metadata/properties" ma:root="true" ma:fieldsID="ba65ce3e70e8d588d07f709724508ae1" ns3:_="" ns4:_="">
    <xsd:import namespace="252899c2-50fe-44b1-8b61-4ed7bccf8b4e"/>
    <xsd:import namespace="37a5efd1-9c47-4578-bbad-d305216cae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899c2-50fe-44b1-8b61-4ed7bccf8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5efd1-9c47-4578-bbad-d305216ca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83792-FC28-48D0-99D1-C42A0825D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2DBB32-8BFF-449C-806C-646BAA029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D1626-3CCC-47E1-B663-72C6E7F8C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899c2-50fe-44b1-8b61-4ed7bccf8b4e"/>
    <ds:schemaRef ds:uri="37a5efd1-9c47-4578-bbad-d305216ca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Sulzbach</dc:creator>
  <cp:keywords/>
  <dc:description/>
  <cp:lastModifiedBy>Kate Sulzbach</cp:lastModifiedBy>
  <cp:revision>3</cp:revision>
  <dcterms:created xsi:type="dcterms:W3CDTF">2022-06-17T06:40:00Z</dcterms:created>
  <dcterms:modified xsi:type="dcterms:W3CDTF">2022-06-17T06:43:00Z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0x0101004BEF277017E08B43A689E1E747E1B3C8</vt:lpwstr>
  </property>
</Properties>
</file>